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1E8B" w14:textId="512EBA43" w:rsidR="00837931" w:rsidRDefault="00837931"/>
    <w:p w14:paraId="31C28068" w14:textId="77777777" w:rsidR="00837931" w:rsidRDefault="001F12A3">
      <w:pPr>
        <w:pStyle w:val="Title"/>
      </w:pPr>
      <w:bookmarkStart w:id="0" w:name="_hjj0v2wglne6" w:colFirst="0" w:colLast="0"/>
      <w:bookmarkEnd w:id="0"/>
      <w:r>
        <w:t>2021 Pioneer Long-Term Email Nurture Strategy</w:t>
      </w:r>
    </w:p>
    <w:p w14:paraId="0DC4DB51" w14:textId="77777777" w:rsidR="00837931" w:rsidRDefault="001F12A3">
      <w:pPr>
        <w:pStyle w:val="Subtitle"/>
        <w:rPr>
          <w:rFonts w:ascii="Open Sans" w:eastAsia="Open Sans" w:hAnsi="Open Sans" w:cs="Open Sans"/>
        </w:rPr>
      </w:pPr>
      <w:bookmarkStart w:id="1" w:name="_aznochfj1dkv" w:colFirst="0" w:colLast="0"/>
      <w:bookmarkEnd w:id="1"/>
      <w:r>
        <w:t>Pioneer | February 2021</w:t>
      </w:r>
    </w:p>
    <w:p w14:paraId="541E7B7B" w14:textId="77777777" w:rsidR="00837931" w:rsidRDefault="00837931"/>
    <w:p w14:paraId="3073FB58" w14:textId="77777777" w:rsidR="00837931" w:rsidRDefault="001F12A3">
      <w:pPr>
        <w:rPr>
          <w:b/>
        </w:rPr>
      </w:pPr>
      <w:r>
        <w:rPr>
          <w:b/>
        </w:rPr>
        <w:t>APPROACH</w:t>
      </w:r>
    </w:p>
    <w:p w14:paraId="6C7E3AC1" w14:textId="1026A1DD" w:rsidR="00837931" w:rsidRDefault="00057197">
      <w:pPr>
        <w:spacing w:after="200"/>
        <w:rPr>
          <w:rFonts w:ascii="Work Sans" w:eastAsia="Work Sans" w:hAnsi="Work Sans" w:cs="Work Sans"/>
        </w:rPr>
      </w:pPr>
      <w:r>
        <w:rPr>
          <w:rFonts w:ascii="Work Sans" w:eastAsia="Work Sans" w:hAnsi="Work Sans" w:cs="Work Sans"/>
        </w:rPr>
        <w:t>Agency</w:t>
      </w:r>
      <w:r w:rsidR="001F12A3">
        <w:rPr>
          <w:rFonts w:ascii="Work Sans" w:eastAsia="Work Sans" w:hAnsi="Work Sans" w:cs="Work Sans"/>
        </w:rPr>
        <w:t xml:space="preserve"> will be targeting professionals within the plumbing and building industry following any initial email marketing effort within the Salesforce/</w:t>
      </w:r>
      <w:proofErr w:type="spellStart"/>
      <w:r w:rsidR="001F12A3">
        <w:rPr>
          <w:rFonts w:ascii="Work Sans" w:eastAsia="Work Sans" w:hAnsi="Work Sans" w:cs="Work Sans"/>
        </w:rPr>
        <w:t>Hubspot</w:t>
      </w:r>
      <w:proofErr w:type="spellEnd"/>
      <w:r w:rsidR="001F12A3">
        <w:rPr>
          <w:rFonts w:ascii="Work Sans" w:eastAsia="Work Sans" w:hAnsi="Work Sans" w:cs="Work Sans"/>
        </w:rPr>
        <w:t xml:space="preserve"> CRM. The objective is to further engage leads with additional content and drive them lower in the fu</w:t>
      </w:r>
      <w:r w:rsidR="001F12A3">
        <w:rPr>
          <w:rFonts w:ascii="Work Sans" w:eastAsia="Work Sans" w:hAnsi="Work Sans" w:cs="Work Sans"/>
        </w:rPr>
        <w:t xml:space="preserve">nnel for a conversation with the sales team. </w:t>
      </w:r>
    </w:p>
    <w:p w14:paraId="41A0EB82" w14:textId="77777777" w:rsidR="00837931" w:rsidRDefault="001F12A3">
      <w:pPr>
        <w:pStyle w:val="Heading1"/>
        <w:spacing w:after="200"/>
      </w:pPr>
      <w:bookmarkStart w:id="2" w:name="_t590l7r852ul" w:colFirst="0" w:colLast="0"/>
      <w:bookmarkEnd w:id="2"/>
      <w:r>
        <w:t xml:space="preserve">Campaign Overview: </w:t>
      </w:r>
    </w:p>
    <w:p w14:paraId="5577BB8F" w14:textId="77777777" w:rsidR="00837931" w:rsidRDefault="001F12A3">
      <w:pPr>
        <w:numPr>
          <w:ilvl w:val="0"/>
          <w:numId w:val="2"/>
        </w:numPr>
        <w:rPr>
          <w:rFonts w:ascii="Work Sans" w:eastAsia="Work Sans" w:hAnsi="Work Sans" w:cs="Work Sans"/>
        </w:rPr>
      </w:pPr>
      <w:r>
        <w:rPr>
          <w:rFonts w:ascii="Work Sans" w:eastAsia="Work Sans" w:hAnsi="Work Sans" w:cs="Work Sans"/>
        </w:rPr>
        <w:t xml:space="preserve">Name: </w:t>
      </w:r>
    </w:p>
    <w:p w14:paraId="6D6334EA" w14:textId="77777777" w:rsidR="00837931" w:rsidRDefault="001F12A3">
      <w:pPr>
        <w:numPr>
          <w:ilvl w:val="1"/>
          <w:numId w:val="2"/>
        </w:numPr>
        <w:rPr>
          <w:rFonts w:ascii="Work Sans" w:eastAsia="Work Sans" w:hAnsi="Work Sans" w:cs="Work Sans"/>
        </w:rPr>
      </w:pPr>
      <w:r>
        <w:rPr>
          <w:rFonts w:ascii="Work Sans" w:eastAsia="Work Sans" w:hAnsi="Work Sans" w:cs="Work Sans"/>
        </w:rPr>
        <w:t>Long-Term Pro Nurture</w:t>
      </w:r>
    </w:p>
    <w:p w14:paraId="11F1D84A" w14:textId="77777777" w:rsidR="00837931" w:rsidRDefault="001F12A3">
      <w:pPr>
        <w:numPr>
          <w:ilvl w:val="0"/>
          <w:numId w:val="2"/>
        </w:numPr>
        <w:rPr>
          <w:rFonts w:ascii="Work Sans" w:eastAsia="Work Sans" w:hAnsi="Work Sans" w:cs="Work Sans"/>
        </w:rPr>
      </w:pPr>
      <w:r>
        <w:rPr>
          <w:rFonts w:ascii="Work Sans" w:eastAsia="Work Sans" w:hAnsi="Work Sans" w:cs="Work Sans"/>
        </w:rPr>
        <w:t>Type:</w:t>
      </w:r>
    </w:p>
    <w:p w14:paraId="06035C4A" w14:textId="77777777" w:rsidR="00837931" w:rsidRDefault="001F12A3">
      <w:pPr>
        <w:numPr>
          <w:ilvl w:val="1"/>
          <w:numId w:val="2"/>
        </w:numPr>
        <w:rPr>
          <w:rFonts w:ascii="Work Sans" w:eastAsia="Work Sans" w:hAnsi="Work Sans" w:cs="Work Sans"/>
        </w:rPr>
      </w:pPr>
      <w:r>
        <w:rPr>
          <w:rFonts w:ascii="Work Sans" w:eastAsia="Work Sans" w:hAnsi="Work Sans" w:cs="Work Sans"/>
        </w:rPr>
        <w:t>Inbound</w:t>
      </w:r>
    </w:p>
    <w:p w14:paraId="49F82859" w14:textId="77777777" w:rsidR="00837931" w:rsidRDefault="001F12A3">
      <w:pPr>
        <w:numPr>
          <w:ilvl w:val="0"/>
          <w:numId w:val="2"/>
        </w:numPr>
        <w:rPr>
          <w:rFonts w:ascii="Work Sans" w:eastAsia="Work Sans" w:hAnsi="Work Sans" w:cs="Work Sans"/>
        </w:rPr>
      </w:pPr>
      <w:r>
        <w:rPr>
          <w:rFonts w:ascii="Work Sans" w:eastAsia="Work Sans" w:hAnsi="Work Sans" w:cs="Work Sans"/>
        </w:rPr>
        <w:t>Length of Campaign:</w:t>
      </w:r>
    </w:p>
    <w:p w14:paraId="5030B147" w14:textId="77777777" w:rsidR="00837931" w:rsidRDefault="001F12A3">
      <w:pPr>
        <w:numPr>
          <w:ilvl w:val="1"/>
          <w:numId w:val="2"/>
        </w:numPr>
        <w:rPr>
          <w:rFonts w:ascii="Work Sans" w:eastAsia="Work Sans" w:hAnsi="Work Sans" w:cs="Work Sans"/>
        </w:rPr>
      </w:pPr>
      <w:r>
        <w:rPr>
          <w:rFonts w:ascii="Work Sans" w:eastAsia="Work Sans" w:hAnsi="Work Sans" w:cs="Work Sans"/>
        </w:rPr>
        <w:t>5 Emails</w:t>
      </w:r>
    </w:p>
    <w:p w14:paraId="770DCD8D" w14:textId="77777777" w:rsidR="00837931" w:rsidRDefault="001F12A3">
      <w:pPr>
        <w:numPr>
          <w:ilvl w:val="0"/>
          <w:numId w:val="2"/>
        </w:numPr>
        <w:rPr>
          <w:rFonts w:ascii="Work Sans" w:eastAsia="Work Sans" w:hAnsi="Work Sans" w:cs="Work Sans"/>
        </w:rPr>
      </w:pPr>
      <w:r>
        <w:rPr>
          <w:rFonts w:ascii="Work Sans" w:eastAsia="Work Sans" w:hAnsi="Work Sans" w:cs="Work Sans"/>
        </w:rPr>
        <w:t>Email Template:</w:t>
      </w:r>
    </w:p>
    <w:p w14:paraId="6793957A" w14:textId="77777777" w:rsidR="00837931" w:rsidRDefault="001F12A3">
      <w:pPr>
        <w:numPr>
          <w:ilvl w:val="1"/>
          <w:numId w:val="2"/>
        </w:numPr>
        <w:rPr>
          <w:rFonts w:ascii="Work Sans" w:eastAsia="Work Sans" w:hAnsi="Work Sans" w:cs="Work Sans"/>
        </w:rPr>
      </w:pPr>
      <w:hyperlink r:id="rId7">
        <w:r>
          <w:rPr>
            <w:rFonts w:ascii="Work Sans" w:eastAsia="Work Sans" w:hAnsi="Work Sans" w:cs="Work Sans"/>
            <w:color w:val="1155CC"/>
            <w:u w:val="single"/>
          </w:rPr>
          <w:t>HubSpot Template</w:t>
        </w:r>
      </w:hyperlink>
    </w:p>
    <w:p w14:paraId="23DA61E2" w14:textId="77777777" w:rsidR="00837931" w:rsidRDefault="001F12A3">
      <w:pPr>
        <w:pStyle w:val="Heading1"/>
        <w:spacing w:after="200"/>
      </w:pPr>
      <w:bookmarkStart w:id="3" w:name="_3eqdjkh361g8" w:colFirst="0" w:colLast="0"/>
      <w:bookmarkEnd w:id="3"/>
      <w:r>
        <w:t>KPI</w:t>
      </w:r>
      <w:r>
        <w:t>s:</w:t>
      </w:r>
    </w:p>
    <w:p w14:paraId="0BE9D88C" w14:textId="77777777" w:rsidR="00837931" w:rsidRDefault="001F12A3">
      <w:pPr>
        <w:numPr>
          <w:ilvl w:val="0"/>
          <w:numId w:val="4"/>
        </w:numPr>
      </w:pPr>
      <w:r>
        <w:t xml:space="preserve">35% Open rate </w:t>
      </w:r>
    </w:p>
    <w:p w14:paraId="2525243D" w14:textId="77777777" w:rsidR="00837931" w:rsidRDefault="001F12A3">
      <w:pPr>
        <w:numPr>
          <w:ilvl w:val="0"/>
          <w:numId w:val="4"/>
        </w:numPr>
      </w:pPr>
      <w:r>
        <w:t>12.5% Click of opens</w:t>
      </w:r>
    </w:p>
    <w:p w14:paraId="1CEC068A" w14:textId="77777777" w:rsidR="00837931" w:rsidRDefault="00837931">
      <w:pPr>
        <w:spacing w:after="200"/>
        <w:rPr>
          <w:rFonts w:ascii="Work Sans" w:eastAsia="Work Sans" w:hAnsi="Work Sans" w:cs="Work Sans"/>
        </w:rPr>
      </w:pPr>
    </w:p>
    <w:p w14:paraId="25C38F76" w14:textId="77777777" w:rsidR="00837931" w:rsidRDefault="001F12A3">
      <w:pPr>
        <w:pStyle w:val="Heading1"/>
        <w:spacing w:after="200"/>
        <w:rPr>
          <w:rFonts w:ascii="Work Sans" w:eastAsia="Work Sans" w:hAnsi="Work Sans" w:cs="Work Sans"/>
        </w:rPr>
      </w:pPr>
      <w:bookmarkStart w:id="4" w:name="_6lambtiepa5l" w:colFirst="0" w:colLast="0"/>
      <w:bookmarkEnd w:id="4"/>
      <w:r>
        <w:t>Campaign Flow:</w:t>
      </w:r>
    </w:p>
    <w:p w14:paraId="5A63659A" w14:textId="77777777" w:rsidR="00837931" w:rsidRDefault="001F12A3">
      <w:pPr>
        <w:spacing w:before="200" w:after="200"/>
        <w:rPr>
          <w:rFonts w:ascii="Work Sans" w:eastAsia="Work Sans" w:hAnsi="Work Sans" w:cs="Work Sans"/>
          <w:b/>
        </w:rPr>
      </w:pPr>
      <w:r>
        <w:rPr>
          <w:rFonts w:ascii="Work Sans" w:eastAsia="Work Sans" w:hAnsi="Work Sans" w:cs="Work Sans"/>
          <w:b/>
        </w:rPr>
        <w:t>Call-to-Actions</w:t>
      </w:r>
    </w:p>
    <w:p w14:paraId="323DA694" w14:textId="77777777" w:rsidR="00837931" w:rsidRDefault="001F12A3">
      <w:pPr>
        <w:spacing w:after="200"/>
        <w:rPr>
          <w:rFonts w:ascii="Work Sans" w:eastAsia="Work Sans" w:hAnsi="Work Sans" w:cs="Work Sans"/>
        </w:rPr>
      </w:pPr>
      <w:r>
        <w:rPr>
          <w:rFonts w:ascii="Work Sans" w:eastAsia="Work Sans" w:hAnsi="Work Sans" w:cs="Work Sans"/>
        </w:rPr>
        <w:t>Throughout this email cadence, we will keep the CTAs within the email marketing copy. The goal will be to get a prospect to either respond to the email or give the sender a direct phone</w:t>
      </w:r>
      <w:r>
        <w:rPr>
          <w:rFonts w:ascii="Work Sans" w:eastAsia="Work Sans" w:hAnsi="Work Sans" w:cs="Work Sans"/>
        </w:rPr>
        <w:t xml:space="preserve"> call. These will be tracked through logging within Salesforce.</w:t>
      </w:r>
    </w:p>
    <w:p w14:paraId="022C493F" w14:textId="77777777" w:rsidR="00837931" w:rsidRDefault="001F12A3">
      <w:pPr>
        <w:pStyle w:val="Heading4"/>
        <w:rPr>
          <w:rFonts w:ascii="Work Sans" w:eastAsia="Work Sans" w:hAnsi="Work Sans" w:cs="Work Sans"/>
        </w:rPr>
      </w:pPr>
      <w:bookmarkStart w:id="5" w:name="_cb33saeb4jor" w:colFirst="0" w:colLast="0"/>
      <w:bookmarkEnd w:id="5"/>
      <w:r>
        <w:rPr>
          <w:rFonts w:ascii="Work Sans" w:eastAsia="Work Sans" w:hAnsi="Work Sans" w:cs="Work Sans"/>
          <w:sz w:val="24"/>
          <w:szCs w:val="24"/>
        </w:rPr>
        <w:lastRenderedPageBreak/>
        <w:t>For Professionals</w:t>
      </w:r>
    </w:p>
    <w:p w14:paraId="7802A251" w14:textId="77777777" w:rsidR="00837931" w:rsidRDefault="001F12A3">
      <w:pPr>
        <w:numPr>
          <w:ilvl w:val="0"/>
          <w:numId w:val="5"/>
        </w:numPr>
        <w:rPr>
          <w:rFonts w:ascii="Work Sans" w:eastAsia="Work Sans" w:hAnsi="Work Sans" w:cs="Work Sans"/>
          <w:i/>
        </w:rPr>
      </w:pPr>
      <w:r>
        <w:rPr>
          <w:rFonts w:ascii="Work Sans" w:eastAsia="Work Sans" w:hAnsi="Work Sans" w:cs="Work Sans"/>
          <w:i/>
        </w:rPr>
        <w:t>Conclusion of Other Campaign(s)</w:t>
      </w:r>
    </w:p>
    <w:p w14:paraId="1819F29E" w14:textId="77777777" w:rsidR="00837931" w:rsidRDefault="001F12A3">
      <w:pPr>
        <w:numPr>
          <w:ilvl w:val="0"/>
          <w:numId w:val="6"/>
        </w:numPr>
        <w:rPr>
          <w:rFonts w:ascii="Work Sans" w:eastAsia="Work Sans" w:hAnsi="Work Sans" w:cs="Work Sans"/>
          <w:i/>
          <w:color w:val="666666"/>
        </w:rPr>
      </w:pPr>
      <w:r>
        <w:rPr>
          <w:rFonts w:ascii="Work Sans" w:eastAsia="Work Sans" w:hAnsi="Work Sans" w:cs="Work Sans"/>
          <w:i/>
          <w:color w:val="666666"/>
        </w:rPr>
        <w:t>Delay 21 Business Days</w:t>
      </w:r>
    </w:p>
    <w:p w14:paraId="367D6540" w14:textId="77777777" w:rsidR="00837931" w:rsidRDefault="001F12A3">
      <w:pPr>
        <w:numPr>
          <w:ilvl w:val="0"/>
          <w:numId w:val="5"/>
        </w:numPr>
        <w:rPr>
          <w:rFonts w:ascii="Work Sans" w:eastAsia="Work Sans" w:hAnsi="Work Sans" w:cs="Work Sans"/>
        </w:rPr>
      </w:pPr>
      <w:r>
        <w:rPr>
          <w:rFonts w:ascii="Work Sans" w:eastAsia="Work Sans" w:hAnsi="Work Sans" w:cs="Work Sans"/>
        </w:rPr>
        <w:t>Email 1 — Faucet Trends &amp; Collection Spotlight</w:t>
      </w:r>
    </w:p>
    <w:p w14:paraId="03A21787" w14:textId="77777777" w:rsidR="00837931" w:rsidRDefault="001F12A3">
      <w:pPr>
        <w:numPr>
          <w:ilvl w:val="1"/>
          <w:numId w:val="5"/>
        </w:numPr>
        <w:rPr>
          <w:rFonts w:ascii="Work Sans" w:eastAsia="Work Sans" w:hAnsi="Work Sans" w:cs="Work Sans"/>
        </w:rPr>
      </w:pPr>
      <w:r>
        <w:rPr>
          <w:rFonts w:ascii="Work Sans" w:eastAsia="Work Sans" w:hAnsi="Work Sans" w:cs="Work Sans"/>
        </w:rPr>
        <w:t xml:space="preserve">Blog: </w:t>
      </w:r>
      <w:hyperlink r:id="rId8">
        <w:r>
          <w:rPr>
            <w:rFonts w:ascii="Work Sans" w:eastAsia="Work Sans" w:hAnsi="Work Sans" w:cs="Work Sans"/>
            <w:color w:val="1155CC"/>
            <w:u w:val="single"/>
          </w:rPr>
          <w:t xml:space="preserve">Top 5 Faucet Trends </w:t>
        </w:r>
        <w:proofErr w:type="gramStart"/>
        <w:r>
          <w:rPr>
            <w:rFonts w:ascii="Work Sans" w:eastAsia="Work Sans" w:hAnsi="Work Sans" w:cs="Work Sans"/>
            <w:color w:val="1155CC"/>
            <w:u w:val="single"/>
          </w:rPr>
          <w:t>For</w:t>
        </w:r>
        <w:proofErr w:type="gramEnd"/>
        <w:r>
          <w:rPr>
            <w:rFonts w:ascii="Work Sans" w:eastAsia="Work Sans" w:hAnsi="Work Sans" w:cs="Work Sans"/>
            <w:color w:val="1155CC"/>
            <w:u w:val="single"/>
          </w:rPr>
          <w:t xml:space="preserve"> the Modern Kitchen</w:t>
        </w:r>
      </w:hyperlink>
    </w:p>
    <w:p w14:paraId="7C6D5042" w14:textId="77777777" w:rsidR="00837931" w:rsidRDefault="001F12A3">
      <w:pPr>
        <w:numPr>
          <w:ilvl w:val="1"/>
          <w:numId w:val="5"/>
        </w:numPr>
        <w:rPr>
          <w:rFonts w:ascii="Work Sans" w:eastAsia="Work Sans" w:hAnsi="Work Sans" w:cs="Work Sans"/>
        </w:rPr>
      </w:pPr>
      <w:r>
        <w:rPr>
          <w:rFonts w:ascii="Work Sans" w:eastAsia="Work Sans" w:hAnsi="Work Sans" w:cs="Work Sans"/>
        </w:rPr>
        <w:t xml:space="preserve">Product Spotlight: </w:t>
      </w:r>
      <w:hyperlink r:id="rId9" w:anchor="2MT270">
        <w:proofErr w:type="spellStart"/>
        <w:r>
          <w:rPr>
            <w:rFonts w:ascii="Work Sans" w:eastAsia="Work Sans" w:hAnsi="Work Sans" w:cs="Work Sans"/>
            <w:color w:val="1155CC"/>
            <w:u w:val="single"/>
          </w:rPr>
          <w:t>Motegi</w:t>
        </w:r>
        <w:proofErr w:type="spellEnd"/>
        <w:r>
          <w:rPr>
            <w:rFonts w:ascii="Work Sans" w:eastAsia="Work Sans" w:hAnsi="Work Sans" w:cs="Work Sans"/>
            <w:color w:val="1155CC"/>
            <w:u w:val="single"/>
          </w:rPr>
          <w:t xml:space="preserve"> Model# 2MT270</w:t>
        </w:r>
      </w:hyperlink>
    </w:p>
    <w:p w14:paraId="08ACF95A" w14:textId="77777777" w:rsidR="00837931" w:rsidRDefault="001F12A3">
      <w:pPr>
        <w:numPr>
          <w:ilvl w:val="2"/>
          <w:numId w:val="5"/>
        </w:numPr>
        <w:rPr>
          <w:rFonts w:ascii="Work Sans" w:eastAsia="Work Sans" w:hAnsi="Work Sans" w:cs="Work Sans"/>
        </w:rPr>
      </w:pPr>
      <w:r>
        <w:rPr>
          <w:rFonts w:ascii="Work Sans" w:eastAsia="Work Sans" w:hAnsi="Work Sans" w:cs="Work Sans"/>
        </w:rPr>
        <w:t>Four different finishes</w:t>
      </w:r>
    </w:p>
    <w:p w14:paraId="6EE6B175" w14:textId="77777777" w:rsidR="00837931" w:rsidRDefault="001F12A3">
      <w:pPr>
        <w:numPr>
          <w:ilvl w:val="1"/>
          <w:numId w:val="5"/>
        </w:numPr>
        <w:rPr>
          <w:rFonts w:ascii="Work Sans" w:eastAsia="Work Sans" w:hAnsi="Work Sans" w:cs="Work Sans"/>
        </w:rPr>
      </w:pPr>
      <w:r>
        <w:rPr>
          <w:rFonts w:ascii="Work Sans" w:eastAsia="Work Sans" w:hAnsi="Work Sans" w:cs="Work Sans"/>
        </w:rPr>
        <w:t xml:space="preserve">CTA: Please feel free to reach out with any questions. </w:t>
      </w:r>
    </w:p>
    <w:p w14:paraId="2332C573" w14:textId="77777777" w:rsidR="00837931" w:rsidRDefault="001F12A3">
      <w:pPr>
        <w:numPr>
          <w:ilvl w:val="0"/>
          <w:numId w:val="8"/>
        </w:numPr>
        <w:rPr>
          <w:rFonts w:ascii="Work Sans" w:eastAsia="Work Sans" w:hAnsi="Work Sans" w:cs="Work Sans"/>
          <w:i/>
          <w:color w:val="666666"/>
        </w:rPr>
      </w:pPr>
      <w:r>
        <w:rPr>
          <w:rFonts w:ascii="Work Sans" w:eastAsia="Work Sans" w:hAnsi="Work Sans" w:cs="Work Sans"/>
          <w:i/>
          <w:color w:val="666666"/>
        </w:rPr>
        <w:t>Delay 10 Business Days</w:t>
      </w:r>
    </w:p>
    <w:p w14:paraId="6DCD8EA3" w14:textId="77777777" w:rsidR="00837931" w:rsidRDefault="001F12A3">
      <w:pPr>
        <w:numPr>
          <w:ilvl w:val="0"/>
          <w:numId w:val="5"/>
        </w:numPr>
        <w:rPr>
          <w:rFonts w:ascii="Work Sans" w:eastAsia="Work Sans" w:hAnsi="Work Sans" w:cs="Work Sans"/>
        </w:rPr>
      </w:pPr>
      <w:r>
        <w:rPr>
          <w:rFonts w:ascii="Work Sans" w:eastAsia="Work Sans" w:hAnsi="Work Sans" w:cs="Work Sans"/>
        </w:rPr>
        <w:t xml:space="preserve">Email 2 — Pioneer &amp; Multifamily </w:t>
      </w:r>
    </w:p>
    <w:p w14:paraId="01E5F675" w14:textId="77777777" w:rsidR="00837931" w:rsidRDefault="001F12A3">
      <w:pPr>
        <w:numPr>
          <w:ilvl w:val="1"/>
          <w:numId w:val="5"/>
        </w:numPr>
        <w:rPr>
          <w:rFonts w:ascii="Work Sans" w:eastAsia="Work Sans" w:hAnsi="Work Sans" w:cs="Work Sans"/>
        </w:rPr>
      </w:pPr>
      <w:r>
        <w:rPr>
          <w:rFonts w:ascii="Work Sans" w:eastAsia="Work Sans" w:hAnsi="Work Sans" w:cs="Work Sans"/>
        </w:rPr>
        <w:t xml:space="preserve"> Blog: </w:t>
      </w:r>
      <w:hyperlink r:id="rId10">
        <w:r>
          <w:rPr>
            <w:rFonts w:ascii="Work Sans" w:eastAsia="Work Sans" w:hAnsi="Work Sans" w:cs="Work Sans"/>
            <w:color w:val="1155CC"/>
            <w:u w:val="single"/>
          </w:rPr>
          <w:t>Choosing the Right Bathroom Faucet Style for Multi-Family &amp; Student Housing Construction</w:t>
        </w:r>
      </w:hyperlink>
    </w:p>
    <w:p w14:paraId="6E2CA810" w14:textId="77777777" w:rsidR="00837931" w:rsidRDefault="001F12A3">
      <w:pPr>
        <w:numPr>
          <w:ilvl w:val="1"/>
          <w:numId w:val="5"/>
        </w:numPr>
        <w:rPr>
          <w:rFonts w:ascii="Work Sans" w:eastAsia="Work Sans" w:hAnsi="Work Sans" w:cs="Work Sans"/>
        </w:rPr>
      </w:pPr>
      <w:r>
        <w:rPr>
          <w:rFonts w:ascii="Work Sans" w:eastAsia="Work Sans" w:hAnsi="Work Sans" w:cs="Work Sans"/>
        </w:rPr>
        <w:t>CTA: Connect about your next project to discuss multifamily options.</w:t>
      </w:r>
    </w:p>
    <w:p w14:paraId="42386B8B" w14:textId="77777777" w:rsidR="00837931" w:rsidRDefault="001F12A3">
      <w:pPr>
        <w:numPr>
          <w:ilvl w:val="0"/>
          <w:numId w:val="3"/>
        </w:numPr>
        <w:rPr>
          <w:rFonts w:ascii="Work Sans" w:eastAsia="Work Sans" w:hAnsi="Work Sans" w:cs="Work Sans"/>
          <w:i/>
          <w:color w:val="666666"/>
        </w:rPr>
      </w:pPr>
      <w:r>
        <w:rPr>
          <w:rFonts w:ascii="Work Sans" w:eastAsia="Work Sans" w:hAnsi="Work Sans" w:cs="Work Sans"/>
          <w:i/>
          <w:color w:val="666666"/>
        </w:rPr>
        <w:t>Delay 14 Business Days</w:t>
      </w:r>
    </w:p>
    <w:p w14:paraId="09829C79" w14:textId="77777777" w:rsidR="00837931" w:rsidRDefault="001F12A3">
      <w:pPr>
        <w:numPr>
          <w:ilvl w:val="0"/>
          <w:numId w:val="5"/>
        </w:numPr>
        <w:rPr>
          <w:rFonts w:ascii="Work Sans" w:eastAsia="Work Sans" w:hAnsi="Work Sans" w:cs="Work Sans"/>
        </w:rPr>
      </w:pPr>
      <w:r>
        <w:rPr>
          <w:rFonts w:ascii="Work Sans" w:eastAsia="Work Sans" w:hAnsi="Work Sans" w:cs="Work Sans"/>
        </w:rPr>
        <w:t>Email 3 — Case Study</w:t>
      </w:r>
    </w:p>
    <w:p w14:paraId="72B993CA" w14:textId="77777777" w:rsidR="00837931" w:rsidRDefault="001F12A3">
      <w:pPr>
        <w:numPr>
          <w:ilvl w:val="1"/>
          <w:numId w:val="5"/>
        </w:numPr>
        <w:rPr>
          <w:rFonts w:ascii="Work Sans" w:eastAsia="Work Sans" w:hAnsi="Work Sans" w:cs="Work Sans"/>
        </w:rPr>
      </w:pPr>
      <w:r>
        <w:rPr>
          <w:rFonts w:ascii="Work Sans" w:eastAsia="Work Sans" w:hAnsi="Work Sans" w:cs="Work Sans"/>
        </w:rPr>
        <w:t xml:space="preserve">Content: </w:t>
      </w:r>
      <w:hyperlink r:id="rId11">
        <w:r>
          <w:rPr>
            <w:rFonts w:ascii="Work Sans" w:eastAsia="Work Sans" w:hAnsi="Work Sans" w:cs="Work Sans"/>
            <w:color w:val="1155CC"/>
            <w:u w:val="single"/>
          </w:rPr>
          <w:t>Residence at Forest Hills</w:t>
        </w:r>
      </w:hyperlink>
    </w:p>
    <w:p w14:paraId="5467914F" w14:textId="77777777" w:rsidR="00837931" w:rsidRDefault="001F12A3">
      <w:pPr>
        <w:numPr>
          <w:ilvl w:val="2"/>
          <w:numId w:val="5"/>
        </w:numPr>
        <w:rPr>
          <w:rFonts w:ascii="Work Sans" w:eastAsia="Work Sans" w:hAnsi="Work Sans" w:cs="Work Sans"/>
        </w:rPr>
      </w:pPr>
      <w:r>
        <w:rPr>
          <w:rFonts w:ascii="Work Sans" w:eastAsia="Work Sans" w:hAnsi="Work Sans" w:cs="Work Sans"/>
        </w:rPr>
        <w:t xml:space="preserve">Smart Use of Budget </w:t>
      </w:r>
    </w:p>
    <w:p w14:paraId="243E7751" w14:textId="77777777" w:rsidR="00837931" w:rsidRDefault="001F12A3">
      <w:pPr>
        <w:numPr>
          <w:ilvl w:val="2"/>
          <w:numId w:val="5"/>
        </w:numPr>
        <w:rPr>
          <w:rFonts w:ascii="Work Sans" w:eastAsia="Work Sans" w:hAnsi="Work Sans" w:cs="Work Sans"/>
        </w:rPr>
      </w:pPr>
      <w:r>
        <w:rPr>
          <w:rFonts w:ascii="Work Sans" w:eastAsia="Work Sans" w:hAnsi="Work Sans" w:cs="Work Sans"/>
        </w:rPr>
        <w:t>10-Year Commercial and Lifetime Residential Warranties</w:t>
      </w:r>
    </w:p>
    <w:p w14:paraId="0B741C52" w14:textId="77777777" w:rsidR="00837931" w:rsidRDefault="001F12A3">
      <w:pPr>
        <w:numPr>
          <w:ilvl w:val="1"/>
          <w:numId w:val="5"/>
        </w:numPr>
        <w:rPr>
          <w:rFonts w:ascii="Work Sans" w:eastAsia="Work Sans" w:hAnsi="Work Sans" w:cs="Work Sans"/>
        </w:rPr>
      </w:pPr>
      <w:r>
        <w:rPr>
          <w:rFonts w:ascii="Work Sans" w:eastAsia="Work Sans" w:hAnsi="Work Sans" w:cs="Work Sans"/>
        </w:rPr>
        <w:t xml:space="preserve">CTA: Request a Custom Product Mix </w:t>
      </w:r>
    </w:p>
    <w:p w14:paraId="006F2A9E" w14:textId="77777777" w:rsidR="00837931" w:rsidRDefault="001F12A3">
      <w:pPr>
        <w:numPr>
          <w:ilvl w:val="0"/>
          <w:numId w:val="7"/>
        </w:numPr>
        <w:rPr>
          <w:rFonts w:ascii="Work Sans" w:eastAsia="Work Sans" w:hAnsi="Work Sans" w:cs="Work Sans"/>
          <w:i/>
          <w:color w:val="666666"/>
        </w:rPr>
      </w:pPr>
      <w:r>
        <w:rPr>
          <w:rFonts w:ascii="Work Sans" w:eastAsia="Work Sans" w:hAnsi="Work Sans" w:cs="Work Sans"/>
          <w:i/>
          <w:color w:val="666666"/>
        </w:rPr>
        <w:t>Delay 21 Business Days</w:t>
      </w:r>
    </w:p>
    <w:p w14:paraId="43C2A50C" w14:textId="77777777" w:rsidR="00837931" w:rsidRDefault="001F12A3">
      <w:pPr>
        <w:numPr>
          <w:ilvl w:val="0"/>
          <w:numId w:val="5"/>
        </w:numPr>
        <w:rPr>
          <w:rFonts w:ascii="Work Sans" w:eastAsia="Work Sans" w:hAnsi="Work Sans" w:cs="Work Sans"/>
        </w:rPr>
      </w:pPr>
      <w:r>
        <w:rPr>
          <w:rFonts w:ascii="Work Sans" w:eastAsia="Work Sans" w:hAnsi="Work Sans" w:cs="Work Sans"/>
        </w:rPr>
        <w:t>Email 4 — Produ</w:t>
      </w:r>
      <w:r>
        <w:rPr>
          <w:rFonts w:ascii="Work Sans" w:eastAsia="Work Sans" w:hAnsi="Work Sans" w:cs="Work Sans"/>
        </w:rPr>
        <w:t>ct Spotlight (Good, Better &amp; Best)</w:t>
      </w:r>
    </w:p>
    <w:p w14:paraId="1D42994D" w14:textId="77777777" w:rsidR="00837931" w:rsidRDefault="001F12A3">
      <w:pPr>
        <w:numPr>
          <w:ilvl w:val="1"/>
          <w:numId w:val="5"/>
        </w:numPr>
        <w:rPr>
          <w:rFonts w:ascii="Work Sans" w:eastAsia="Work Sans" w:hAnsi="Work Sans" w:cs="Work Sans"/>
        </w:rPr>
      </w:pPr>
      <w:r>
        <w:rPr>
          <w:rFonts w:ascii="Work Sans" w:eastAsia="Work Sans" w:hAnsi="Work Sans" w:cs="Work Sans"/>
        </w:rPr>
        <w:t>A Product for all Budgets/Projects.</w:t>
      </w:r>
    </w:p>
    <w:p w14:paraId="1EFFD90B" w14:textId="77777777" w:rsidR="00837931" w:rsidRDefault="001F12A3">
      <w:pPr>
        <w:numPr>
          <w:ilvl w:val="2"/>
          <w:numId w:val="5"/>
        </w:numPr>
        <w:rPr>
          <w:rFonts w:ascii="Work Sans" w:eastAsia="Work Sans" w:hAnsi="Work Sans" w:cs="Work Sans"/>
        </w:rPr>
      </w:pPr>
      <w:r>
        <w:rPr>
          <w:rFonts w:ascii="Work Sans" w:eastAsia="Work Sans" w:hAnsi="Work Sans" w:cs="Work Sans"/>
        </w:rPr>
        <w:t xml:space="preserve">Good: </w:t>
      </w:r>
      <w:r>
        <w:rPr>
          <w:rFonts w:ascii="Work Sans" w:eastAsia="Work Sans" w:hAnsi="Work Sans" w:cs="Work Sans"/>
          <w:b/>
        </w:rPr>
        <w:t>Elite:</w:t>
      </w:r>
      <w:r>
        <w:rPr>
          <w:rFonts w:ascii="Work Sans" w:eastAsia="Work Sans" w:hAnsi="Work Sans" w:cs="Work Sans"/>
        </w:rPr>
        <w:t xml:space="preserve"> (L-6160, T-2300, K-4160</w:t>
      </w:r>
    </w:p>
    <w:p w14:paraId="58364C11" w14:textId="77777777" w:rsidR="00837931" w:rsidRDefault="001F12A3">
      <w:pPr>
        <w:numPr>
          <w:ilvl w:val="2"/>
          <w:numId w:val="5"/>
        </w:numPr>
        <w:rPr>
          <w:rFonts w:ascii="Work Sans" w:eastAsia="Work Sans" w:hAnsi="Work Sans" w:cs="Work Sans"/>
        </w:rPr>
      </w:pPr>
      <w:r>
        <w:rPr>
          <w:rFonts w:ascii="Work Sans" w:eastAsia="Work Sans" w:hAnsi="Work Sans" w:cs="Work Sans"/>
        </w:rPr>
        <w:t xml:space="preserve">Better: </w:t>
      </w:r>
      <w:r>
        <w:rPr>
          <w:rFonts w:ascii="Work Sans" w:eastAsia="Work Sans" w:hAnsi="Work Sans" w:cs="Work Sans"/>
          <w:b/>
        </w:rPr>
        <w:t>i2:</w:t>
      </w:r>
      <w:r>
        <w:rPr>
          <w:rFonts w:ascii="Work Sans" w:eastAsia="Work Sans" w:hAnsi="Work Sans" w:cs="Work Sans"/>
        </w:rPr>
        <w:t xml:space="preserve"> L-6050, K-5015, T-2373</w:t>
      </w:r>
    </w:p>
    <w:p w14:paraId="3611168C" w14:textId="77777777" w:rsidR="00837931" w:rsidRDefault="001F12A3">
      <w:pPr>
        <w:numPr>
          <w:ilvl w:val="2"/>
          <w:numId w:val="5"/>
        </w:numPr>
        <w:rPr>
          <w:rFonts w:ascii="Work Sans" w:eastAsia="Work Sans" w:hAnsi="Work Sans" w:cs="Work Sans"/>
        </w:rPr>
      </w:pPr>
      <w:r>
        <w:rPr>
          <w:rFonts w:ascii="Work Sans" w:eastAsia="Work Sans" w:hAnsi="Work Sans" w:cs="Work Sans"/>
        </w:rPr>
        <w:t xml:space="preserve">Best: </w:t>
      </w:r>
      <w:proofErr w:type="spellStart"/>
      <w:r>
        <w:rPr>
          <w:rFonts w:ascii="Work Sans" w:eastAsia="Work Sans" w:hAnsi="Work Sans" w:cs="Work Sans"/>
          <w:b/>
        </w:rPr>
        <w:t>Motegi</w:t>
      </w:r>
      <w:proofErr w:type="spellEnd"/>
      <w:r>
        <w:rPr>
          <w:rFonts w:ascii="Work Sans" w:eastAsia="Work Sans" w:hAnsi="Work Sans" w:cs="Work Sans"/>
          <w:b/>
        </w:rPr>
        <w:t>:</w:t>
      </w:r>
      <w:r>
        <w:rPr>
          <w:rFonts w:ascii="Work Sans" w:eastAsia="Work Sans" w:hAnsi="Work Sans" w:cs="Work Sans"/>
        </w:rPr>
        <w:t xml:space="preserve"> 3MT160, 2MT260, T-4MT131</w:t>
      </w:r>
    </w:p>
    <w:p w14:paraId="489AC1B1" w14:textId="77777777" w:rsidR="00837931" w:rsidRDefault="001F12A3">
      <w:pPr>
        <w:numPr>
          <w:ilvl w:val="1"/>
          <w:numId w:val="5"/>
        </w:numPr>
        <w:rPr>
          <w:rFonts w:ascii="Work Sans" w:eastAsia="Work Sans" w:hAnsi="Work Sans" w:cs="Work Sans"/>
        </w:rPr>
      </w:pPr>
      <w:r>
        <w:rPr>
          <w:rFonts w:ascii="Work Sans" w:eastAsia="Work Sans" w:hAnsi="Work Sans" w:cs="Work Sans"/>
        </w:rPr>
        <w:t xml:space="preserve">CTA: Can we get a product matrix started for your team? </w:t>
      </w:r>
    </w:p>
    <w:p w14:paraId="74056C0E" w14:textId="77777777" w:rsidR="00837931" w:rsidRDefault="001F12A3">
      <w:pPr>
        <w:numPr>
          <w:ilvl w:val="0"/>
          <w:numId w:val="1"/>
        </w:numPr>
        <w:rPr>
          <w:rFonts w:ascii="Work Sans" w:eastAsia="Work Sans" w:hAnsi="Work Sans" w:cs="Work Sans"/>
          <w:i/>
          <w:color w:val="666666"/>
        </w:rPr>
      </w:pPr>
      <w:r>
        <w:rPr>
          <w:rFonts w:ascii="Work Sans" w:eastAsia="Work Sans" w:hAnsi="Work Sans" w:cs="Work Sans"/>
          <w:i/>
          <w:color w:val="666666"/>
        </w:rPr>
        <w:t>Delay 14 Business Days</w:t>
      </w:r>
    </w:p>
    <w:p w14:paraId="0F0F3D3D" w14:textId="77777777" w:rsidR="00837931" w:rsidRDefault="001F12A3">
      <w:pPr>
        <w:numPr>
          <w:ilvl w:val="0"/>
          <w:numId w:val="5"/>
        </w:numPr>
        <w:rPr>
          <w:rFonts w:ascii="Work Sans" w:eastAsia="Work Sans" w:hAnsi="Work Sans" w:cs="Work Sans"/>
        </w:rPr>
      </w:pPr>
      <w:r>
        <w:rPr>
          <w:rFonts w:ascii="Work Sans" w:eastAsia="Work Sans" w:hAnsi="Work Sans" w:cs="Work Sans"/>
        </w:rPr>
        <w:t>Email 5 — Proven by Pros</w:t>
      </w:r>
    </w:p>
    <w:p w14:paraId="56AD1338" w14:textId="77777777" w:rsidR="00837931" w:rsidRDefault="001F12A3">
      <w:pPr>
        <w:numPr>
          <w:ilvl w:val="1"/>
          <w:numId w:val="5"/>
        </w:numPr>
        <w:rPr>
          <w:rFonts w:ascii="Work Sans" w:eastAsia="Work Sans" w:hAnsi="Work Sans" w:cs="Work Sans"/>
        </w:rPr>
      </w:pPr>
      <w:r>
        <w:rPr>
          <w:rFonts w:ascii="Work Sans" w:eastAsia="Work Sans" w:hAnsi="Work Sans" w:cs="Work Sans"/>
        </w:rPr>
        <w:t xml:space="preserve">Acknowledge the Risk in Using a New Product </w:t>
      </w:r>
    </w:p>
    <w:p w14:paraId="48C71ED0" w14:textId="77777777" w:rsidR="00837931" w:rsidRDefault="001F12A3">
      <w:pPr>
        <w:numPr>
          <w:ilvl w:val="1"/>
          <w:numId w:val="5"/>
        </w:numPr>
        <w:rPr>
          <w:rFonts w:ascii="Work Sans" w:eastAsia="Work Sans" w:hAnsi="Work Sans" w:cs="Work Sans"/>
        </w:rPr>
      </w:pPr>
      <w:r>
        <w:rPr>
          <w:rFonts w:ascii="Work Sans" w:eastAsia="Work Sans" w:hAnsi="Work Sans" w:cs="Work Sans"/>
        </w:rPr>
        <w:t xml:space="preserve">Showcase 70,000 in-wall valves per </w:t>
      </w:r>
      <w:r>
        <w:rPr>
          <w:rFonts w:ascii="Work Sans" w:eastAsia="Work Sans" w:hAnsi="Work Sans" w:cs="Work Sans"/>
        </w:rPr>
        <w:t>year</w:t>
      </w:r>
      <w:r>
        <w:rPr>
          <w:rFonts w:ascii="Work Sans" w:eastAsia="Work Sans" w:hAnsi="Work Sans" w:cs="Work Sans"/>
        </w:rPr>
        <w:t xml:space="preserve"> statistic as a counterpoint </w:t>
      </w:r>
    </w:p>
    <w:p w14:paraId="19F5F8BE" w14:textId="77777777" w:rsidR="00837931" w:rsidRDefault="001F12A3">
      <w:pPr>
        <w:numPr>
          <w:ilvl w:val="1"/>
          <w:numId w:val="5"/>
        </w:numPr>
        <w:rPr>
          <w:rFonts w:ascii="Work Sans" w:eastAsia="Work Sans" w:hAnsi="Work Sans" w:cs="Work Sans"/>
        </w:rPr>
      </w:pPr>
      <w:r>
        <w:rPr>
          <w:rFonts w:ascii="Work Sans" w:eastAsia="Work Sans" w:hAnsi="Work Sans" w:cs="Work Sans"/>
        </w:rPr>
        <w:t>CTA: Give Me a Call</w:t>
      </w:r>
    </w:p>
    <w:p w14:paraId="0C544913" w14:textId="77777777" w:rsidR="00837931" w:rsidRDefault="001F12A3">
      <w:pPr>
        <w:pStyle w:val="Heading1"/>
        <w:spacing w:after="200"/>
      </w:pPr>
      <w:bookmarkStart w:id="6" w:name="_233kn826p2vf" w:colFirst="0" w:colLast="0"/>
      <w:bookmarkEnd w:id="6"/>
      <w:r>
        <w:t>Email Copy</w:t>
      </w:r>
    </w:p>
    <w:p w14:paraId="18840C49" w14:textId="77777777" w:rsidR="00837931" w:rsidRDefault="001F12A3">
      <w:pPr>
        <w:pStyle w:val="Heading1"/>
        <w:spacing w:before="400" w:after="120"/>
        <w:rPr>
          <w:sz w:val="40"/>
          <w:szCs w:val="40"/>
        </w:rPr>
      </w:pPr>
      <w:bookmarkStart w:id="7" w:name="_yhdoylqn1m0k" w:colFirst="0" w:colLast="0"/>
      <w:bookmarkEnd w:id="7"/>
      <w:r>
        <w:rPr>
          <w:sz w:val="40"/>
          <w:szCs w:val="40"/>
        </w:rPr>
        <w:t>Email #1</w:t>
      </w:r>
    </w:p>
    <w:p w14:paraId="1CD810B5" w14:textId="77777777" w:rsidR="00837931" w:rsidRDefault="001F12A3">
      <w:r>
        <w:t>Subject: Are you keeping up with design trends?</w:t>
      </w:r>
    </w:p>
    <w:p w14:paraId="2805AE78" w14:textId="77777777" w:rsidR="00837931" w:rsidRDefault="00837931"/>
    <w:p w14:paraId="7D030CB4" w14:textId="77777777" w:rsidR="00837931" w:rsidRDefault="001F12A3">
      <w:r>
        <w:t xml:space="preserve">Hi </w:t>
      </w:r>
      <w:r>
        <w:rPr>
          <w:b/>
        </w:rPr>
        <w:t>[name]</w:t>
      </w:r>
      <w:r>
        <w:t>,</w:t>
      </w:r>
    </w:p>
    <w:p w14:paraId="790B50CB" w14:textId="77777777" w:rsidR="00837931" w:rsidRDefault="00837931"/>
    <w:p w14:paraId="4227823E" w14:textId="77777777" w:rsidR="00837931" w:rsidRDefault="001F12A3">
      <w:r>
        <w:lastRenderedPageBreak/>
        <w:t>Design trends are always shifting and changing. As modern kitchens evolve, it pays to keep up with the ever-growing options for kitchen and bathroom faucet</w:t>
      </w:r>
      <w:r>
        <w:t xml:space="preserve"> design.</w:t>
      </w:r>
    </w:p>
    <w:p w14:paraId="00BC602A" w14:textId="77777777" w:rsidR="00837931" w:rsidRDefault="00837931"/>
    <w:p w14:paraId="55C1E45A" w14:textId="77777777" w:rsidR="00837931" w:rsidRDefault="001F12A3">
      <w:r>
        <w:t xml:space="preserve">From modern bar prep pull-down spouts to clean lines and black finishes, check out these </w:t>
      </w:r>
      <w:hyperlink r:id="rId12">
        <w:r>
          <w:rPr>
            <w:color w:val="1155CC"/>
            <w:u w:val="single"/>
          </w:rPr>
          <w:t>top 5 faucet design trends for the modern kitchen</w:t>
        </w:r>
      </w:hyperlink>
      <w:r>
        <w:t>.</w:t>
      </w:r>
    </w:p>
    <w:p w14:paraId="0A623A46" w14:textId="77777777" w:rsidR="00837931" w:rsidRDefault="00837931"/>
    <w:p w14:paraId="75624BBE" w14:textId="77777777" w:rsidR="00837931" w:rsidRDefault="001F12A3">
      <w:r>
        <w:t xml:space="preserve">As styles continue to evolve, the choices for finishes continue to grow. Take the </w:t>
      </w:r>
      <w:hyperlink r:id="rId13" w:anchor="2MT270">
        <w:proofErr w:type="spellStart"/>
        <w:r>
          <w:rPr>
            <w:color w:val="1155CC"/>
            <w:u w:val="single"/>
          </w:rPr>
          <w:t>Motegi</w:t>
        </w:r>
        <w:proofErr w:type="spellEnd"/>
        <w:r>
          <w:rPr>
            <w:color w:val="1155CC"/>
            <w:u w:val="single"/>
          </w:rPr>
          <w:t xml:space="preserve"> Model #2MT270</w:t>
        </w:r>
      </w:hyperlink>
      <w:r>
        <w:t>. This single-handle, spring pull-d</w:t>
      </w:r>
      <w:r>
        <w:t>own kitchen faucet is available in Polished Chrome, Brushed Nickel, Matte Black and Brushed Gold. We have options that are sure to complete your bathroom or kitchen design.</w:t>
      </w:r>
    </w:p>
    <w:p w14:paraId="5700C0B1" w14:textId="77777777" w:rsidR="00837931" w:rsidRDefault="00837931"/>
    <w:p w14:paraId="52ED2C21" w14:textId="77777777" w:rsidR="00837931" w:rsidRDefault="001F12A3">
      <w:r>
        <w:t>We would be happy to talk to you about upcoming faucet trends. Please feel free to</w:t>
      </w:r>
      <w:r>
        <w:t xml:space="preserve"> reach out with any questions by responding to this email or calling a member of the sales team at </w:t>
      </w:r>
      <w:r>
        <w:rPr>
          <w:b/>
        </w:rPr>
        <w:t>###-###-####.</w:t>
      </w:r>
      <w:r>
        <w:t xml:space="preserve"> </w:t>
      </w:r>
    </w:p>
    <w:p w14:paraId="6FC2C20E" w14:textId="77777777" w:rsidR="00837931" w:rsidRDefault="001F12A3">
      <w:pPr>
        <w:pStyle w:val="Heading1"/>
        <w:spacing w:before="400" w:after="120"/>
        <w:rPr>
          <w:sz w:val="40"/>
          <w:szCs w:val="40"/>
        </w:rPr>
      </w:pPr>
      <w:bookmarkStart w:id="8" w:name="_vzezx04zrlwn" w:colFirst="0" w:colLast="0"/>
      <w:bookmarkEnd w:id="8"/>
      <w:r>
        <w:rPr>
          <w:sz w:val="40"/>
          <w:szCs w:val="40"/>
        </w:rPr>
        <w:t>Email #2</w:t>
      </w:r>
    </w:p>
    <w:p w14:paraId="1D9B8BA6" w14:textId="77777777" w:rsidR="00837931" w:rsidRDefault="001F12A3">
      <w:r>
        <w:t>Subject: The perfect match for multifamily projects</w:t>
      </w:r>
    </w:p>
    <w:p w14:paraId="73491CD1" w14:textId="77777777" w:rsidR="00837931" w:rsidRDefault="00837931"/>
    <w:p w14:paraId="56E382FF" w14:textId="77777777" w:rsidR="00837931" w:rsidRDefault="001F12A3">
      <w:r>
        <w:t xml:space="preserve">Hi </w:t>
      </w:r>
      <w:r>
        <w:rPr>
          <w:b/>
        </w:rPr>
        <w:t>[name]</w:t>
      </w:r>
      <w:r>
        <w:t>,</w:t>
      </w:r>
    </w:p>
    <w:p w14:paraId="71256140" w14:textId="77777777" w:rsidR="00837931" w:rsidRDefault="00837931"/>
    <w:p w14:paraId="4210D4AD" w14:textId="77777777" w:rsidR="00837931" w:rsidRDefault="001F12A3">
      <w:r>
        <w:t>Designing, constructing and outfitting a multifamily building projec</w:t>
      </w:r>
      <w:r>
        <w:t xml:space="preserve">t is no easy task. </w:t>
      </w:r>
    </w:p>
    <w:p w14:paraId="1ABBD794" w14:textId="77777777" w:rsidR="00837931" w:rsidRDefault="00837931"/>
    <w:p w14:paraId="3349FD5E" w14:textId="77777777" w:rsidR="00837931" w:rsidRDefault="001F12A3">
      <w:r>
        <w:t xml:space="preserve">Understanding the details of your project, budget and design aesthetic are key factors in choosing building products that will stand the test of time. </w:t>
      </w:r>
    </w:p>
    <w:p w14:paraId="3889C642" w14:textId="77777777" w:rsidR="00837931" w:rsidRDefault="00837931"/>
    <w:p w14:paraId="188793EB" w14:textId="77777777" w:rsidR="00837931" w:rsidRDefault="001F12A3">
      <w:r>
        <w:t xml:space="preserve">Pioneer can help you choose the right bathroom faucet style for </w:t>
      </w:r>
      <w:hyperlink r:id="rId14">
        <w:r>
          <w:rPr>
            <w:color w:val="1155CC"/>
            <w:u w:val="single"/>
          </w:rPr>
          <w:t>multifamily construction</w:t>
        </w:r>
      </w:hyperlink>
      <w:r>
        <w:t>.</w:t>
      </w:r>
    </w:p>
    <w:p w14:paraId="24424BDB" w14:textId="77777777" w:rsidR="00837931" w:rsidRDefault="00837931"/>
    <w:p w14:paraId="1E64CDDA" w14:textId="77777777" w:rsidR="00837931" w:rsidRDefault="001F12A3">
      <w:r>
        <w:t>When you’re ready, connect with us to learn more about the options. We’ll start by developing a customized list of product options based on your budget and the styles that are proven to last for decades.</w:t>
      </w:r>
    </w:p>
    <w:p w14:paraId="1C39EE01" w14:textId="77777777" w:rsidR="00837931" w:rsidRDefault="00837931"/>
    <w:p w14:paraId="756C4C9D" w14:textId="77777777" w:rsidR="00837931" w:rsidRDefault="001F12A3">
      <w:r>
        <w:t>You can respond directly to this email or call a me</w:t>
      </w:r>
      <w:r>
        <w:t xml:space="preserve">mber of our sales team at </w:t>
      </w:r>
      <w:r>
        <w:rPr>
          <w:b/>
        </w:rPr>
        <w:t>[phone number]</w:t>
      </w:r>
      <w:r>
        <w:t xml:space="preserve">. </w:t>
      </w:r>
    </w:p>
    <w:p w14:paraId="56C42256" w14:textId="77777777" w:rsidR="00837931" w:rsidRDefault="001F12A3">
      <w:pPr>
        <w:pStyle w:val="Heading1"/>
        <w:spacing w:before="400" w:after="120"/>
        <w:rPr>
          <w:sz w:val="40"/>
          <w:szCs w:val="40"/>
        </w:rPr>
      </w:pPr>
      <w:bookmarkStart w:id="9" w:name="_fpkhs29lswxf" w:colFirst="0" w:colLast="0"/>
      <w:bookmarkEnd w:id="9"/>
      <w:r>
        <w:rPr>
          <w:sz w:val="40"/>
          <w:szCs w:val="40"/>
        </w:rPr>
        <w:lastRenderedPageBreak/>
        <w:t>Email #3</w:t>
      </w:r>
    </w:p>
    <w:p w14:paraId="3D662E76" w14:textId="77777777" w:rsidR="00837931" w:rsidRDefault="001F12A3">
      <w:r>
        <w:t>Subject: [Case Study] Saving 20% on Multifamily Project</w:t>
      </w:r>
    </w:p>
    <w:p w14:paraId="141129F4" w14:textId="77777777" w:rsidR="00837931" w:rsidRDefault="00837931"/>
    <w:p w14:paraId="71833B3F" w14:textId="77777777" w:rsidR="00837931" w:rsidRDefault="001F12A3">
      <w:r>
        <w:t xml:space="preserve">Hi </w:t>
      </w:r>
      <w:r>
        <w:rPr>
          <w:b/>
        </w:rPr>
        <w:t>[name]</w:t>
      </w:r>
      <w:r>
        <w:t>,</w:t>
      </w:r>
    </w:p>
    <w:p w14:paraId="5284D646" w14:textId="77777777" w:rsidR="00837931" w:rsidRDefault="00837931"/>
    <w:p w14:paraId="4D1D14F8" w14:textId="77777777" w:rsidR="00837931" w:rsidRDefault="001F12A3">
      <w:r>
        <w:t xml:space="preserve">The </w:t>
      </w:r>
      <w:hyperlink r:id="rId15">
        <w:r>
          <w:rPr>
            <w:color w:val="1155CC"/>
            <w:u w:val="single"/>
          </w:rPr>
          <w:t>Residence at Forest Hills</w:t>
        </w:r>
      </w:hyperlink>
      <w:r>
        <w:t xml:space="preserve"> team was faced wit</w:t>
      </w:r>
      <w:r>
        <w:t xml:space="preserve">h a budget shortfall. We were able to develop a product mix that closely matched their existing specifications for a luxury faucet manufacturer. </w:t>
      </w:r>
    </w:p>
    <w:p w14:paraId="6FBA4A41" w14:textId="77777777" w:rsidR="00837931" w:rsidRDefault="00837931"/>
    <w:p w14:paraId="58BF897C" w14:textId="77777777" w:rsidR="00837931" w:rsidRDefault="001F12A3">
      <w:r>
        <w:t>By moving to Pioneer, they were able to save 20% on the overall cost of kitchen and bathroom faucets and trim</w:t>
      </w:r>
      <w:r>
        <w:t xml:space="preserve"> kits without sacrificing their design aesthetics. Plus, our products are backed by a 10-year warranty giving them peace of mind.</w:t>
      </w:r>
    </w:p>
    <w:p w14:paraId="470A4D36" w14:textId="77777777" w:rsidR="00837931" w:rsidRDefault="00837931"/>
    <w:p w14:paraId="7140F16C" w14:textId="77777777" w:rsidR="00837931" w:rsidRDefault="001F12A3">
      <w:r>
        <w:t>Contact us today to start developing a cost-saving custom product mix for your next project.</w:t>
      </w:r>
    </w:p>
    <w:p w14:paraId="637AB026" w14:textId="77777777" w:rsidR="00837931" w:rsidRDefault="001F12A3">
      <w:pPr>
        <w:pStyle w:val="Heading1"/>
        <w:spacing w:before="400" w:after="120"/>
        <w:rPr>
          <w:sz w:val="40"/>
          <w:szCs w:val="40"/>
        </w:rPr>
      </w:pPr>
      <w:bookmarkStart w:id="10" w:name="_4zxug3hhli11" w:colFirst="0" w:colLast="0"/>
      <w:bookmarkEnd w:id="10"/>
      <w:r>
        <w:rPr>
          <w:sz w:val="40"/>
          <w:szCs w:val="40"/>
        </w:rPr>
        <w:t>Email #4</w:t>
      </w:r>
    </w:p>
    <w:p w14:paraId="74C47BA4" w14:textId="77777777" w:rsidR="00837931" w:rsidRDefault="001F12A3">
      <w:r>
        <w:t>Subject: Products for a</w:t>
      </w:r>
      <w:r>
        <w:t>ll faucet budgets</w:t>
      </w:r>
    </w:p>
    <w:p w14:paraId="30C83A9D" w14:textId="77777777" w:rsidR="00837931" w:rsidRDefault="00837931"/>
    <w:p w14:paraId="0C7D7294" w14:textId="77777777" w:rsidR="00837931" w:rsidRDefault="00837931"/>
    <w:p w14:paraId="43A14D90" w14:textId="77777777" w:rsidR="00837931" w:rsidRDefault="001F12A3">
      <w:r>
        <w:t xml:space="preserve">Hi </w:t>
      </w:r>
      <w:r>
        <w:rPr>
          <w:b/>
        </w:rPr>
        <w:t>[name]</w:t>
      </w:r>
      <w:r>
        <w:t>,</w:t>
      </w:r>
    </w:p>
    <w:p w14:paraId="1E297730" w14:textId="77777777" w:rsidR="00837931" w:rsidRDefault="00837931"/>
    <w:p w14:paraId="37CE392A" w14:textId="77777777" w:rsidR="00837931" w:rsidRDefault="001F12A3">
      <w:r>
        <w:t>At Pioneer, we understand that each project comes with financial constraints. Because of this, we’ve designed product lines that will fit into every budget, allowing you to have superior style, durability and beauty no matte</w:t>
      </w:r>
      <w:r>
        <w:t>r what.</w:t>
      </w:r>
    </w:p>
    <w:p w14:paraId="7D73DA18" w14:textId="77777777" w:rsidR="00837931" w:rsidRDefault="00837931"/>
    <w:p w14:paraId="6082C2C1" w14:textId="77777777" w:rsidR="00837931" w:rsidRDefault="001F12A3">
      <w:r>
        <w:t>We offer a selection of kitchen and bathroom faucets and fixtures. Check out these options:</w:t>
      </w:r>
    </w:p>
    <w:p w14:paraId="13763FA8" w14:textId="77777777" w:rsidR="00837931" w:rsidRDefault="00837931"/>
    <w:p w14:paraId="3A74C5D5" w14:textId="77777777" w:rsidR="00837931" w:rsidRDefault="001F12A3">
      <w:r>
        <w:t>Best Value</w:t>
      </w:r>
    </w:p>
    <w:p w14:paraId="2CD63FE4" w14:textId="77777777" w:rsidR="00837931" w:rsidRDefault="001F12A3">
      <w:hyperlink r:id="rId16">
        <w:r>
          <w:rPr>
            <w:color w:val="1155CC"/>
            <w:u w:val="single"/>
          </w:rPr>
          <w:t>Elite L-6160</w:t>
        </w:r>
      </w:hyperlink>
    </w:p>
    <w:p w14:paraId="325DDA8E" w14:textId="77777777" w:rsidR="00837931" w:rsidRDefault="001F12A3">
      <w:hyperlink r:id="rId17">
        <w:r>
          <w:rPr>
            <w:color w:val="1155CC"/>
            <w:u w:val="single"/>
          </w:rPr>
          <w:t>Elite T-2300</w:t>
        </w:r>
      </w:hyperlink>
    </w:p>
    <w:p w14:paraId="5596536D" w14:textId="77777777" w:rsidR="00837931" w:rsidRDefault="001F12A3">
      <w:hyperlink r:id="rId18">
        <w:r>
          <w:rPr>
            <w:color w:val="1155CC"/>
            <w:u w:val="single"/>
          </w:rPr>
          <w:t>Elite K-4161</w:t>
        </w:r>
      </w:hyperlink>
    </w:p>
    <w:p w14:paraId="030B4E46" w14:textId="77777777" w:rsidR="00837931" w:rsidRDefault="00837931"/>
    <w:p w14:paraId="63C68674" w14:textId="77777777" w:rsidR="00837931" w:rsidRDefault="001F12A3">
      <w:r>
        <w:lastRenderedPageBreak/>
        <w:t>Best Quality and Cost</w:t>
      </w:r>
    </w:p>
    <w:p w14:paraId="522104BB" w14:textId="77777777" w:rsidR="00837931" w:rsidRDefault="001F12A3">
      <w:hyperlink r:id="rId19">
        <w:r>
          <w:rPr>
            <w:color w:val="1155CC"/>
            <w:u w:val="single"/>
          </w:rPr>
          <w:t>i2 L-6050</w:t>
        </w:r>
      </w:hyperlink>
    </w:p>
    <w:p w14:paraId="57BF5CB0" w14:textId="77777777" w:rsidR="00837931" w:rsidRDefault="001F12A3">
      <w:hyperlink r:id="rId20">
        <w:r>
          <w:rPr>
            <w:color w:val="1155CC"/>
            <w:u w:val="single"/>
          </w:rPr>
          <w:t>i2 T-2373</w:t>
        </w:r>
      </w:hyperlink>
    </w:p>
    <w:p w14:paraId="6353B536" w14:textId="77777777" w:rsidR="00837931" w:rsidRDefault="001F12A3">
      <w:hyperlink r:id="rId21">
        <w:r>
          <w:rPr>
            <w:color w:val="1155CC"/>
            <w:u w:val="single"/>
          </w:rPr>
          <w:t>i2 K-5020</w:t>
        </w:r>
      </w:hyperlink>
    </w:p>
    <w:p w14:paraId="1D5BBA53" w14:textId="77777777" w:rsidR="00837931" w:rsidRDefault="00837931"/>
    <w:p w14:paraId="6307D698" w14:textId="77777777" w:rsidR="00837931" w:rsidRDefault="001F12A3">
      <w:r>
        <w:t>Best High-End Option</w:t>
      </w:r>
    </w:p>
    <w:p w14:paraId="3EC07A42" w14:textId="77777777" w:rsidR="00837931" w:rsidRDefault="001F12A3">
      <w:hyperlink r:id="rId22">
        <w:proofErr w:type="spellStart"/>
        <w:r>
          <w:rPr>
            <w:color w:val="1155CC"/>
            <w:u w:val="single"/>
          </w:rPr>
          <w:t>Motegi</w:t>
        </w:r>
        <w:proofErr w:type="spellEnd"/>
        <w:r>
          <w:rPr>
            <w:color w:val="1155CC"/>
            <w:u w:val="single"/>
          </w:rPr>
          <w:t xml:space="preserve"> 3MT160</w:t>
        </w:r>
      </w:hyperlink>
    </w:p>
    <w:p w14:paraId="791F052C" w14:textId="77777777" w:rsidR="00837931" w:rsidRDefault="001F12A3">
      <w:hyperlink r:id="rId23">
        <w:proofErr w:type="spellStart"/>
        <w:r>
          <w:rPr>
            <w:color w:val="1155CC"/>
            <w:u w:val="single"/>
          </w:rPr>
          <w:t>Motegi</w:t>
        </w:r>
        <w:proofErr w:type="spellEnd"/>
        <w:r>
          <w:rPr>
            <w:color w:val="1155CC"/>
            <w:u w:val="single"/>
          </w:rPr>
          <w:t xml:space="preserve"> 2MT270</w:t>
        </w:r>
      </w:hyperlink>
    </w:p>
    <w:p w14:paraId="361668F6" w14:textId="77777777" w:rsidR="00837931" w:rsidRDefault="001F12A3">
      <w:hyperlink r:id="rId24">
        <w:proofErr w:type="spellStart"/>
        <w:r>
          <w:rPr>
            <w:color w:val="1155CC"/>
            <w:u w:val="single"/>
          </w:rPr>
          <w:t>Motegi</w:t>
        </w:r>
        <w:proofErr w:type="spellEnd"/>
        <w:r>
          <w:rPr>
            <w:color w:val="1155CC"/>
            <w:u w:val="single"/>
          </w:rPr>
          <w:t xml:space="preserve"> T-4MT120</w:t>
        </w:r>
      </w:hyperlink>
    </w:p>
    <w:p w14:paraId="14C58880" w14:textId="77777777" w:rsidR="00837931" w:rsidRDefault="00837931"/>
    <w:p w14:paraId="791255E3" w14:textId="77777777" w:rsidR="00837931" w:rsidRDefault="001F12A3">
      <w:r>
        <w:t>Can we get a project matrix started for your team? Respond to this email or just give us a call, and we’ll prepare a variety of options that fit your project and budget.</w:t>
      </w:r>
    </w:p>
    <w:p w14:paraId="4F75D8EE" w14:textId="77777777" w:rsidR="00837931" w:rsidRDefault="001F12A3">
      <w:pPr>
        <w:pStyle w:val="Heading1"/>
        <w:spacing w:before="400" w:after="120"/>
        <w:rPr>
          <w:sz w:val="40"/>
          <w:szCs w:val="40"/>
        </w:rPr>
      </w:pPr>
      <w:bookmarkStart w:id="11" w:name="_24pl8lzqgjd" w:colFirst="0" w:colLast="0"/>
      <w:bookmarkEnd w:id="11"/>
      <w:r>
        <w:rPr>
          <w:sz w:val="40"/>
          <w:szCs w:val="40"/>
        </w:rPr>
        <w:t>Email #5</w:t>
      </w:r>
    </w:p>
    <w:p w14:paraId="770FF8DA" w14:textId="77777777" w:rsidR="00837931" w:rsidRDefault="001F12A3">
      <w:r>
        <w:t>[Subject] Trust. Transparency. Expertise.</w:t>
      </w:r>
    </w:p>
    <w:p w14:paraId="3ACAAD98" w14:textId="77777777" w:rsidR="00837931" w:rsidRDefault="00837931"/>
    <w:p w14:paraId="0C72775D" w14:textId="77777777" w:rsidR="00837931" w:rsidRDefault="001F12A3">
      <w:r>
        <w:t xml:space="preserve">Hi </w:t>
      </w:r>
      <w:r>
        <w:rPr>
          <w:b/>
        </w:rPr>
        <w:t>[name]</w:t>
      </w:r>
      <w:r>
        <w:t>,</w:t>
      </w:r>
    </w:p>
    <w:p w14:paraId="1E59E7C7" w14:textId="77777777" w:rsidR="00837931" w:rsidRDefault="00837931"/>
    <w:p w14:paraId="7A1D9196" w14:textId="77777777" w:rsidR="00837931" w:rsidRDefault="001F12A3">
      <w:r>
        <w:t xml:space="preserve">We know that choosing a new product or working with a new company for the first time can be daunting. That’s why we’re proud to focus on delivering genuine quality, style and value to all of our clients. </w:t>
      </w:r>
    </w:p>
    <w:p w14:paraId="5B670E98" w14:textId="77777777" w:rsidR="00837931" w:rsidRDefault="00837931"/>
    <w:p w14:paraId="1BA7B4AA" w14:textId="77777777" w:rsidR="00837931" w:rsidRDefault="001F12A3">
      <w:r>
        <w:t>We care about you and your project and un</w:t>
      </w:r>
      <w:r>
        <w:t>derstand that faucets and fixtures are subject to some of the hardest wear and tear in a commercial or residential space.</w:t>
      </w:r>
    </w:p>
    <w:p w14:paraId="0BCA9043" w14:textId="77777777" w:rsidR="00837931" w:rsidRDefault="00837931"/>
    <w:p w14:paraId="750D1E26" w14:textId="77777777" w:rsidR="00837931" w:rsidRDefault="001F12A3">
      <w:r>
        <w:t xml:space="preserve">We stand behind our products. And with everyone in our company customer-facing, you’ll be able to talk to </w:t>
      </w:r>
      <w:r>
        <w:rPr>
          <w:i/>
        </w:rPr>
        <w:t>who</w:t>
      </w:r>
      <w:r>
        <w:t xml:space="preserve"> you need </w:t>
      </w:r>
      <w:r>
        <w:rPr>
          <w:i/>
        </w:rPr>
        <w:t>when</w:t>
      </w:r>
      <w:r>
        <w:t xml:space="preserve"> you need them. Our family-owned business sells 70,000 in-wall valves every year, and we stand behind each and every one.</w:t>
      </w:r>
    </w:p>
    <w:p w14:paraId="134A8068" w14:textId="77777777" w:rsidR="00837931" w:rsidRDefault="00837931"/>
    <w:p w14:paraId="2C2CDF23" w14:textId="77777777" w:rsidR="00837931" w:rsidRDefault="001F12A3">
      <w:r>
        <w:t xml:space="preserve">We’re ready to help you plan and execute your project. Give us a call today to get started. </w:t>
      </w:r>
    </w:p>
    <w:p w14:paraId="507914E2" w14:textId="77777777" w:rsidR="00837931" w:rsidRDefault="00837931"/>
    <w:p w14:paraId="502313C4" w14:textId="77777777" w:rsidR="00837931" w:rsidRDefault="00837931">
      <w:pPr>
        <w:pStyle w:val="Heading4"/>
      </w:pPr>
      <w:bookmarkStart w:id="12" w:name="_1anmrdv7v6zg" w:colFirst="0" w:colLast="0"/>
      <w:bookmarkEnd w:id="12"/>
    </w:p>
    <w:sectPr w:rsidR="00837931">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CADA" w14:textId="77777777" w:rsidR="001F12A3" w:rsidRDefault="001F12A3">
      <w:pPr>
        <w:spacing w:line="240" w:lineRule="auto"/>
      </w:pPr>
      <w:r>
        <w:separator/>
      </w:r>
    </w:p>
  </w:endnote>
  <w:endnote w:type="continuationSeparator" w:id="0">
    <w:p w14:paraId="4A2DE374" w14:textId="77777777" w:rsidR="001F12A3" w:rsidRDefault="001F1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Oswald">
    <w:charset w:val="00"/>
    <w:family w:val="auto"/>
    <w:pitch w:val="variable"/>
    <w:sig w:usb0="2000020F" w:usb1="00000000" w:usb2="00000000" w:usb3="00000000" w:csb0="00000197" w:csb1="00000000"/>
  </w:font>
  <w:font w:name="Playfair Display">
    <w:charset w:val="00"/>
    <w:family w:val="auto"/>
    <w:pitch w:val="variable"/>
    <w:sig w:usb0="20000207" w:usb1="00000000" w:usb2="00000000" w:usb3="00000000" w:csb0="00000197" w:csb1="00000000"/>
  </w:font>
  <w:font w:name="Playfair Display Black">
    <w:charset w:val="00"/>
    <w:family w:val="auto"/>
    <w:pitch w:val="variable"/>
    <w:sig w:usb0="20000207" w:usb1="00000000" w:usb2="00000000" w:usb3="00000000" w:csb0="00000197" w:csb1="00000000"/>
  </w:font>
  <w:font w:name="Work Sans">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20BE" w14:textId="77777777" w:rsidR="00837931" w:rsidRDefault="008379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7122" w14:textId="77777777" w:rsidR="001F12A3" w:rsidRDefault="001F12A3">
      <w:pPr>
        <w:spacing w:line="240" w:lineRule="auto"/>
      </w:pPr>
      <w:r>
        <w:separator/>
      </w:r>
    </w:p>
  </w:footnote>
  <w:footnote w:type="continuationSeparator" w:id="0">
    <w:p w14:paraId="202F83E2" w14:textId="77777777" w:rsidR="001F12A3" w:rsidRDefault="001F12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7B8D" w14:textId="77777777" w:rsidR="00837931" w:rsidRDefault="00837931">
    <w:pPr>
      <w:rPr>
        <w:color w:val="6666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221E"/>
    <w:multiLevelType w:val="multilevel"/>
    <w:tmpl w:val="10E8D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27CBF"/>
    <w:multiLevelType w:val="multilevel"/>
    <w:tmpl w:val="E528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47859"/>
    <w:multiLevelType w:val="multilevel"/>
    <w:tmpl w:val="88FED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49632C"/>
    <w:multiLevelType w:val="multilevel"/>
    <w:tmpl w:val="BD6E9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7902AD"/>
    <w:multiLevelType w:val="multilevel"/>
    <w:tmpl w:val="886AF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0B5C6F"/>
    <w:multiLevelType w:val="multilevel"/>
    <w:tmpl w:val="A15E2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0C0EC7"/>
    <w:multiLevelType w:val="multilevel"/>
    <w:tmpl w:val="4F1A2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366517"/>
    <w:multiLevelType w:val="multilevel"/>
    <w:tmpl w:val="D91CA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6"/>
  </w:num>
  <w:num w:numId="4">
    <w:abstractNumId w:val="0"/>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31"/>
    <w:rsid w:val="00057197"/>
    <w:rsid w:val="001F12A3"/>
    <w:rsid w:val="0083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20E0"/>
  <w15:docId w15:val="{EC5EFBA4-314D-459A-8D97-424CAE4E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Oswald" w:eastAsia="Oswald" w:hAnsi="Oswald" w:cs="Oswald"/>
      <w:sz w:val="36"/>
      <w:szCs w:val="36"/>
    </w:rPr>
  </w:style>
  <w:style w:type="paragraph" w:styleId="Heading2">
    <w:name w:val="heading 2"/>
    <w:basedOn w:val="Normal"/>
    <w:next w:val="Normal"/>
    <w:uiPriority w:val="9"/>
    <w:unhideWhenUsed/>
    <w:qFormat/>
    <w:pPr>
      <w:keepNext/>
      <w:keepLines/>
      <w:spacing w:after="200"/>
      <w:outlineLvl w:val="1"/>
    </w:pPr>
    <w:rPr>
      <w:rFonts w:ascii="Playfair Display" w:eastAsia="Playfair Display" w:hAnsi="Playfair Display" w:cs="Playfair Display"/>
      <w:b/>
      <w:color w:val="FF4242"/>
      <w:sz w:val="28"/>
      <w:szCs w:val="28"/>
    </w:rPr>
  </w:style>
  <w:style w:type="paragraph" w:styleId="Heading3">
    <w:name w:val="heading 3"/>
    <w:basedOn w:val="Normal"/>
    <w:next w:val="Normal"/>
    <w:uiPriority w:val="9"/>
    <w:unhideWhenUsed/>
    <w:qFormat/>
    <w:pPr>
      <w:keepNext/>
      <w:keepLines/>
      <w:spacing w:before="200"/>
      <w:outlineLvl w:val="2"/>
    </w:pPr>
    <w:rPr>
      <w:rFonts w:ascii="Oswald" w:eastAsia="Oswald" w:hAnsi="Oswald" w:cs="Oswald"/>
      <w:sz w:val="28"/>
      <w:szCs w:val="28"/>
      <w:u w:val="single"/>
    </w:rPr>
  </w:style>
  <w:style w:type="paragraph" w:styleId="Heading4">
    <w:name w:val="heading 4"/>
    <w:basedOn w:val="Normal"/>
    <w:next w:val="Normal"/>
    <w:uiPriority w:val="9"/>
    <w:unhideWhenUsed/>
    <w:qFormat/>
    <w:pPr>
      <w:keepNext/>
      <w:keepLines/>
      <w:spacing w:before="280" w:after="80"/>
      <w:outlineLvl w:val="3"/>
    </w:pPr>
    <w:rPr>
      <w:b/>
    </w:rPr>
  </w:style>
  <w:style w:type="paragraph" w:styleId="Heading5">
    <w:name w:val="heading 5"/>
    <w:basedOn w:val="Normal"/>
    <w:next w:val="Normal"/>
    <w:uiPriority w:val="9"/>
    <w:semiHidden/>
    <w:unhideWhenUsed/>
    <w:qFormat/>
    <w:pPr>
      <w:keepNext/>
      <w:keepLines/>
      <w:outlineLvl w:val="4"/>
    </w:pPr>
    <w:rPr>
      <w:b/>
    </w:rPr>
  </w:style>
  <w:style w:type="paragraph" w:styleId="Heading6">
    <w:name w:val="heading 6"/>
    <w:basedOn w:val="Normal"/>
    <w:next w:val="Normal"/>
    <w:uiPriority w:val="9"/>
    <w:semiHidden/>
    <w:unhideWhenUsed/>
    <w:qFormat/>
    <w:pPr>
      <w:keepNext/>
      <w:keepLine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Playfair Display Black" w:eastAsia="Playfair Display Black" w:hAnsi="Playfair Display Black" w:cs="Playfair Display Black"/>
      <w:color w:val="FF4242"/>
      <w:sz w:val="60"/>
      <w:szCs w:val="60"/>
    </w:rPr>
  </w:style>
  <w:style w:type="paragraph" w:styleId="Subtitle">
    <w:name w:val="Subtitle"/>
    <w:basedOn w:val="Normal"/>
    <w:next w:val="Normal"/>
    <w:uiPriority w:val="11"/>
    <w:qFormat/>
    <w:pPr>
      <w:keepNext/>
      <w:keepLines/>
      <w:spacing w:before="120" w:line="273" w:lineRule="auto"/>
    </w:pPr>
    <w:rPr>
      <w:rFonts w:ascii="Playfair Display" w:eastAsia="Playfair Display" w:hAnsi="Playfair Display" w:cs="Playfair Display"/>
      <w:i/>
      <w:color w:val="666666"/>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ioneerind.com/top-5-faucet-trends-modern-kitchen/" TargetMode="External"/><Relationship Id="rId13" Type="http://schemas.openxmlformats.org/officeDocument/2006/relationships/hyperlink" Target="https://pioneerind.com/product/single-handle-pre-rinse-spring-pull-down-kitchen-faucet/" TargetMode="External"/><Relationship Id="rId18" Type="http://schemas.openxmlformats.org/officeDocument/2006/relationships/hyperlink" Target="https://pioneerind.com/product/single-handle-kitchen-faucet-15/"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ioneerind.com/product/single-handle-pull-down-kitchen-faucet-6/" TargetMode="External"/><Relationship Id="rId7" Type="http://schemas.openxmlformats.org/officeDocument/2006/relationships/hyperlink" Target="https://app.hubspot.com/email/8103370/edit/35157137097/content" TargetMode="External"/><Relationship Id="rId12" Type="http://schemas.openxmlformats.org/officeDocument/2006/relationships/hyperlink" Target="https://pioneerind.com/top-5-faucet-trends-modern-kitchen/" TargetMode="External"/><Relationship Id="rId17" Type="http://schemas.openxmlformats.org/officeDocument/2006/relationships/hyperlink" Target="https://pioneerind.com/product/single-handle-tub-shower-trim-set-w-handheld-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ioneerind.com/product/single-handle-bathroom-faucet-60/" TargetMode="External"/><Relationship Id="rId20" Type="http://schemas.openxmlformats.org/officeDocument/2006/relationships/hyperlink" Target="https://pioneerind.com/product/single-handle-valve-trim-set-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oneerind.com/completed-project-residence-at-forest-hills/" TargetMode="External"/><Relationship Id="rId24" Type="http://schemas.openxmlformats.org/officeDocument/2006/relationships/hyperlink" Target="https://pioneerind.com/product/single-handle-tub-and-shower-trim-set-24/" TargetMode="External"/><Relationship Id="rId5" Type="http://schemas.openxmlformats.org/officeDocument/2006/relationships/footnotes" Target="footnotes.xml"/><Relationship Id="rId15" Type="http://schemas.openxmlformats.org/officeDocument/2006/relationships/hyperlink" Target="https://pioneerind.com/completed-project-residence-at-forest-hills/" TargetMode="External"/><Relationship Id="rId23" Type="http://schemas.openxmlformats.org/officeDocument/2006/relationships/hyperlink" Target="https://pioneerind.com/product/single-handle-pre-rinse-spring-pull-down-kitchen-faucet/" TargetMode="External"/><Relationship Id="rId28" Type="http://schemas.openxmlformats.org/officeDocument/2006/relationships/theme" Target="theme/theme1.xml"/><Relationship Id="rId10" Type="http://schemas.openxmlformats.org/officeDocument/2006/relationships/hyperlink" Target="https://pioneerind.com/choosing-the-right-bathroom-faucet-style-for-multi-family-student-housing-construction/" TargetMode="External"/><Relationship Id="rId19" Type="http://schemas.openxmlformats.org/officeDocument/2006/relationships/hyperlink" Target="https://pioneerind.com/product/single-handle-bathroom-faucet-52/" TargetMode="External"/><Relationship Id="rId4" Type="http://schemas.openxmlformats.org/officeDocument/2006/relationships/webSettings" Target="webSettings.xml"/><Relationship Id="rId9" Type="http://schemas.openxmlformats.org/officeDocument/2006/relationships/hyperlink" Target="https://pioneerind.com/product/single-handle-pre-rinse-spring-pull-down-kitchen-faucet/" TargetMode="External"/><Relationship Id="rId14" Type="http://schemas.openxmlformats.org/officeDocument/2006/relationships/hyperlink" Target="https://pioneerind.com/choosing-the-right-bathroom-faucet-style-for-multi-family-student-housing-construction/" TargetMode="External"/><Relationship Id="rId22" Type="http://schemas.openxmlformats.org/officeDocument/2006/relationships/hyperlink" Target="https://pioneerind.com/product/single-handle-bathroom-faucet-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Berlin</dc:creator>
  <cp:lastModifiedBy>Helen Berlin</cp:lastModifiedBy>
  <cp:revision>2</cp:revision>
  <dcterms:created xsi:type="dcterms:W3CDTF">2021-11-19T18:22:00Z</dcterms:created>
  <dcterms:modified xsi:type="dcterms:W3CDTF">2021-11-19T18:22:00Z</dcterms:modified>
</cp:coreProperties>
</file>